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09" w:rsidRDefault="00E238DC">
      <w:pPr>
        <w:pStyle w:val="Ttulo1"/>
        <w:shd w:val="clear" w:color="auto" w:fill="FFFFFF"/>
        <w:spacing w:before="0" w:after="0"/>
        <w:jc w:val="center"/>
        <w:textAlignment w:val="baseline"/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7E3409" w:rsidRDefault="007E3409">
      <w:pPr>
        <w:pStyle w:val="Corpodetexto"/>
        <w:shd w:val="clear" w:color="auto" w:fill="FFFFFF"/>
        <w:spacing w:after="0"/>
        <w:jc w:val="center"/>
        <w:textAlignment w:val="baseline"/>
      </w:pPr>
    </w:p>
    <w:p w:rsidR="007E3409" w:rsidRDefault="005B4246" w:rsidP="00FE6EC5">
      <w:pPr>
        <w:pStyle w:val="SemEspaamento1"/>
        <w:jc w:val="center"/>
        <w:rPr>
          <w:rFonts w:hint="eastAsia"/>
        </w:rPr>
      </w:pPr>
      <w:r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A estrutura jurídica da União Europeia e do </w:t>
      </w:r>
      <w:proofErr w:type="spellStart"/>
      <w:proofErr w:type="gramStart"/>
      <w:r>
        <w:rPr>
          <w:rFonts w:ascii="Arial" w:hAnsi="Arial" w:cs="Times New Roman"/>
          <w:b/>
          <w:sz w:val="28"/>
          <w:szCs w:val="28"/>
          <w:shd w:val="clear" w:color="auto" w:fill="FFFFFF"/>
        </w:rPr>
        <w:t>Mercosul</w:t>
      </w:r>
      <w:proofErr w:type="spellEnd"/>
      <w:proofErr w:type="gramEnd"/>
      <w:r>
        <w:rPr>
          <w:rFonts w:ascii="Arial" w:hAnsi="Arial" w:cs="Times New Roman"/>
          <w:b/>
          <w:sz w:val="28"/>
          <w:szCs w:val="28"/>
          <w:shd w:val="clear" w:color="auto" w:fill="FFFFFF"/>
        </w:rPr>
        <w:t>: supranacional e intergovernamental</w:t>
      </w:r>
      <w:r w:rsidR="00100325"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</w:t>
      </w:r>
    </w:p>
    <w:p w:rsidR="007E3409" w:rsidRDefault="007E3409">
      <w:pPr>
        <w:pStyle w:val="SemEspaamento1"/>
        <w:rPr>
          <w:rFonts w:hint="eastAsia"/>
        </w:rPr>
      </w:pPr>
    </w:p>
    <w:p w:rsidR="007E3409" w:rsidRDefault="007E3409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p w:rsidR="005B4246" w:rsidRPr="005B4246" w:rsidRDefault="005B4246" w:rsidP="005B4246">
      <w:pPr>
        <w:jc w:val="both"/>
        <w:rPr>
          <w:rFonts w:ascii="Arial" w:hAnsi="Arial"/>
          <w:sz w:val="24"/>
          <w:szCs w:val="24"/>
        </w:rPr>
      </w:pPr>
      <w:r w:rsidRPr="005B4246">
        <w:rPr>
          <w:rFonts w:ascii="Arial" w:hAnsi="Arial"/>
          <w:sz w:val="24"/>
          <w:szCs w:val="24"/>
        </w:rPr>
        <w:t xml:space="preserve">Uma Organização Internacional é um ente internacional formado por diversos países que se unem para cooperar e alcançar objetivos em comum. Em termos de estrutura jurídica, as organizações internacionais podem ser supranacionais ou intergovernamentais, dependendo do que se estabelece em termos de preservação da soberania dos Estados.  O presente trabalho tem por objetivo analisar a estrutura jurídica da União Europeia e do </w:t>
      </w:r>
      <w:proofErr w:type="spellStart"/>
      <w:proofErr w:type="gramStart"/>
      <w:r w:rsidRPr="005B4246">
        <w:rPr>
          <w:rFonts w:ascii="Arial" w:hAnsi="Arial"/>
          <w:sz w:val="24"/>
          <w:szCs w:val="24"/>
        </w:rPr>
        <w:t>Mercosul</w:t>
      </w:r>
      <w:proofErr w:type="spellEnd"/>
      <w:proofErr w:type="gramEnd"/>
      <w:r w:rsidRPr="005B4246">
        <w:rPr>
          <w:rFonts w:ascii="Arial" w:hAnsi="Arial"/>
          <w:sz w:val="24"/>
          <w:szCs w:val="24"/>
        </w:rPr>
        <w:t xml:space="preserve">, verificando o estado de preservação da soberania dos Estados membros. </w:t>
      </w:r>
      <w:r w:rsidR="003A10D8">
        <w:rPr>
          <w:rFonts w:ascii="Arial" w:hAnsi="Arial"/>
          <w:sz w:val="24"/>
          <w:szCs w:val="24"/>
        </w:rPr>
        <w:t xml:space="preserve">O método usado é o dedutivo. </w:t>
      </w:r>
      <w:r w:rsidRPr="005B4246">
        <w:rPr>
          <w:rFonts w:ascii="Arial" w:hAnsi="Arial"/>
          <w:sz w:val="24"/>
          <w:szCs w:val="24"/>
        </w:rPr>
        <w:t>O conceito de Organizações Supranacionais ganhou contorno jurídico com o tratado c</w:t>
      </w:r>
      <w:r>
        <w:rPr>
          <w:rFonts w:ascii="Arial" w:hAnsi="Arial"/>
          <w:sz w:val="24"/>
          <w:szCs w:val="24"/>
        </w:rPr>
        <w:t>onstitutivo da Comunidade Europe</w:t>
      </w:r>
      <w:r w:rsidRPr="005B4246">
        <w:rPr>
          <w:rFonts w:ascii="Arial" w:hAnsi="Arial"/>
          <w:sz w:val="24"/>
          <w:szCs w:val="24"/>
        </w:rPr>
        <w:t>ia do Carvão e do Aço (CECA)</w:t>
      </w:r>
      <w:r>
        <w:rPr>
          <w:rFonts w:ascii="Arial" w:hAnsi="Arial"/>
          <w:sz w:val="24"/>
          <w:szCs w:val="24"/>
        </w:rPr>
        <w:t>,</w:t>
      </w:r>
      <w:r w:rsidRPr="005B4246">
        <w:rPr>
          <w:rFonts w:ascii="Arial" w:hAnsi="Arial"/>
          <w:sz w:val="24"/>
          <w:szCs w:val="24"/>
        </w:rPr>
        <w:t xml:space="preserve"> de 1951. Esta comunidade, juntamente com a Comunidade Econômica Europ</w:t>
      </w:r>
      <w:r>
        <w:rPr>
          <w:rFonts w:ascii="Arial" w:hAnsi="Arial"/>
          <w:sz w:val="24"/>
          <w:szCs w:val="24"/>
        </w:rPr>
        <w:t>e</w:t>
      </w:r>
      <w:r w:rsidRPr="005B4246">
        <w:rPr>
          <w:rFonts w:ascii="Arial" w:hAnsi="Arial"/>
          <w:sz w:val="24"/>
          <w:szCs w:val="24"/>
        </w:rPr>
        <w:t>ia (CEE)</w:t>
      </w:r>
      <w:r>
        <w:rPr>
          <w:rFonts w:ascii="Arial" w:hAnsi="Arial"/>
          <w:sz w:val="24"/>
          <w:szCs w:val="24"/>
        </w:rPr>
        <w:t xml:space="preserve"> e a Comunidade Europe</w:t>
      </w:r>
      <w:r w:rsidRPr="005B4246">
        <w:rPr>
          <w:rFonts w:ascii="Arial" w:hAnsi="Arial"/>
          <w:sz w:val="24"/>
          <w:szCs w:val="24"/>
        </w:rPr>
        <w:t>ia de Energia Atômica (</w:t>
      </w:r>
      <w:proofErr w:type="spellStart"/>
      <w:r w:rsidRPr="005B4246">
        <w:rPr>
          <w:rFonts w:ascii="Arial" w:hAnsi="Arial"/>
          <w:sz w:val="24"/>
          <w:szCs w:val="24"/>
        </w:rPr>
        <w:t>Euratom</w:t>
      </w:r>
      <w:proofErr w:type="spellEnd"/>
      <w:r w:rsidRPr="005B4246">
        <w:rPr>
          <w:rFonts w:ascii="Arial" w:hAnsi="Arial"/>
          <w:sz w:val="24"/>
          <w:szCs w:val="24"/>
        </w:rPr>
        <w:t>) fundiram-se poste</w:t>
      </w:r>
      <w:r>
        <w:rPr>
          <w:rFonts w:ascii="Arial" w:hAnsi="Arial"/>
          <w:sz w:val="24"/>
          <w:szCs w:val="24"/>
        </w:rPr>
        <w:t>riormente nas Comunidades Europe</w:t>
      </w:r>
      <w:r w:rsidRPr="005B4246">
        <w:rPr>
          <w:rFonts w:ascii="Arial" w:hAnsi="Arial"/>
          <w:sz w:val="24"/>
          <w:szCs w:val="24"/>
        </w:rPr>
        <w:t xml:space="preserve">ias, </w:t>
      </w:r>
      <w:proofErr w:type="spellStart"/>
      <w:r w:rsidRPr="005B4246">
        <w:rPr>
          <w:rFonts w:ascii="Arial" w:hAnsi="Arial"/>
          <w:sz w:val="24"/>
          <w:szCs w:val="24"/>
        </w:rPr>
        <w:t>predecessora</w:t>
      </w:r>
      <w:proofErr w:type="spellEnd"/>
      <w:r w:rsidRPr="005B4246">
        <w:rPr>
          <w:rFonts w:ascii="Arial" w:hAnsi="Arial"/>
          <w:sz w:val="24"/>
          <w:szCs w:val="24"/>
        </w:rPr>
        <w:t xml:space="preserve"> da atua</w:t>
      </w:r>
      <w:r>
        <w:rPr>
          <w:rFonts w:ascii="Arial" w:hAnsi="Arial"/>
          <w:sz w:val="24"/>
          <w:szCs w:val="24"/>
        </w:rPr>
        <w:t>l União Europe</w:t>
      </w:r>
      <w:r w:rsidRPr="005B4246">
        <w:rPr>
          <w:rFonts w:ascii="Arial" w:hAnsi="Arial"/>
          <w:sz w:val="24"/>
          <w:szCs w:val="24"/>
        </w:rPr>
        <w:t>ia. A União Europeia é a única organização supranacional existente hoje, pois ela é dotada de um poder superior ao das autoridades estatais dos seus respectivos Estados</w:t>
      </w:r>
      <w:r>
        <w:rPr>
          <w:rFonts w:ascii="Arial" w:hAnsi="Arial"/>
          <w:sz w:val="24"/>
          <w:szCs w:val="24"/>
        </w:rPr>
        <w:t xml:space="preserve"> </w:t>
      </w:r>
      <w:r w:rsidRPr="005B4246">
        <w:rPr>
          <w:rFonts w:ascii="Arial" w:hAnsi="Arial"/>
          <w:sz w:val="24"/>
          <w:szCs w:val="24"/>
        </w:rPr>
        <w:t xml:space="preserve">membros. Na supranacionalidade, os Estados transferem parte de suas competências legislativas para um órgão supranacional que, de acordo com um princípio de competência, por atribuição, aprova regulamentos e diretivas que se aplicam uniformemente (e com primazia) em todo espaço da União Europeia. Há, portanto, cessão de parte da soberania dos Estados para a União Europeia.  Já no âmbito do </w:t>
      </w:r>
      <w:proofErr w:type="spellStart"/>
      <w:proofErr w:type="gramStart"/>
      <w:r w:rsidRPr="005B4246">
        <w:rPr>
          <w:rFonts w:ascii="Arial" w:hAnsi="Arial"/>
          <w:sz w:val="24"/>
          <w:szCs w:val="24"/>
        </w:rPr>
        <w:t>Mercosul</w:t>
      </w:r>
      <w:proofErr w:type="spellEnd"/>
      <w:proofErr w:type="gramEnd"/>
      <w:r w:rsidRPr="005B4246">
        <w:rPr>
          <w:rFonts w:ascii="Arial" w:hAnsi="Arial"/>
          <w:sz w:val="24"/>
          <w:szCs w:val="24"/>
        </w:rPr>
        <w:t>, o Tratado de Assunção, de 1991, diferente da União Europeia, descartou a possibilidade de criação de um órgão supranacional, na medida em que apenas crio</w:t>
      </w:r>
      <w:r>
        <w:rPr>
          <w:rFonts w:ascii="Arial" w:hAnsi="Arial"/>
          <w:sz w:val="24"/>
          <w:szCs w:val="24"/>
        </w:rPr>
        <w:t xml:space="preserve">u órgãos intergovernamentais. </w:t>
      </w:r>
      <w:r w:rsidRPr="005B4246">
        <w:rPr>
          <w:rFonts w:ascii="Arial" w:hAnsi="Arial"/>
          <w:sz w:val="24"/>
          <w:szCs w:val="24"/>
        </w:rPr>
        <w:t xml:space="preserve">O referido tratado pode ser considerado o fundamento da estrutura do </w:t>
      </w:r>
      <w:proofErr w:type="spellStart"/>
      <w:proofErr w:type="gramStart"/>
      <w:r w:rsidRPr="005B4246">
        <w:rPr>
          <w:rFonts w:ascii="Arial" w:hAnsi="Arial"/>
          <w:sz w:val="24"/>
          <w:szCs w:val="24"/>
        </w:rPr>
        <w:t>Mercosul</w:t>
      </w:r>
      <w:proofErr w:type="spellEnd"/>
      <w:proofErr w:type="gramEnd"/>
      <w:r w:rsidRPr="005B4246">
        <w:rPr>
          <w:rFonts w:ascii="Arial" w:hAnsi="Arial"/>
          <w:sz w:val="24"/>
          <w:szCs w:val="24"/>
        </w:rPr>
        <w:t>, em que estão positivados os seus princípios elementares, com o objetivo principal de instituir um</w:t>
      </w:r>
      <w:r>
        <w:rPr>
          <w:rFonts w:ascii="Arial" w:hAnsi="Arial"/>
          <w:sz w:val="24"/>
          <w:szCs w:val="24"/>
        </w:rPr>
        <w:t xml:space="preserve"> mercado comum entre os Estados </w:t>
      </w:r>
      <w:r w:rsidRPr="005B4246">
        <w:rPr>
          <w:rFonts w:ascii="Arial" w:hAnsi="Arial"/>
          <w:sz w:val="24"/>
          <w:szCs w:val="24"/>
        </w:rPr>
        <w:t>partes. Como conclusão, o t</w:t>
      </w:r>
      <w:r>
        <w:rPr>
          <w:rFonts w:ascii="Arial" w:hAnsi="Arial"/>
          <w:sz w:val="24"/>
          <w:szCs w:val="24"/>
        </w:rPr>
        <w:t xml:space="preserve">rabalho destaca que no </w:t>
      </w:r>
      <w:proofErr w:type="spellStart"/>
      <w:proofErr w:type="gramStart"/>
      <w:r>
        <w:rPr>
          <w:rFonts w:ascii="Arial" w:hAnsi="Arial"/>
          <w:sz w:val="24"/>
          <w:szCs w:val="24"/>
        </w:rPr>
        <w:t>Mercosul</w:t>
      </w:r>
      <w:proofErr w:type="spellEnd"/>
      <w:proofErr w:type="gramEnd"/>
      <w:r w:rsidRPr="005B4246">
        <w:rPr>
          <w:rFonts w:ascii="Arial" w:hAnsi="Arial"/>
          <w:sz w:val="24"/>
          <w:szCs w:val="24"/>
        </w:rPr>
        <w:t xml:space="preserve"> a opção foi por uma estrutura jurídica intergovernamental, de cooperação dos Estados baseada na preservação total da soberania estatal, já na União Europeia a cooperação se estabelece com base na cessão de soberania.</w:t>
      </w:r>
    </w:p>
    <w:p w:rsidR="005B4246" w:rsidRPr="005B4246" w:rsidRDefault="005B4246" w:rsidP="005B4246">
      <w:pPr>
        <w:jc w:val="both"/>
        <w:rPr>
          <w:rFonts w:ascii="Arial" w:hAnsi="Arial"/>
          <w:sz w:val="24"/>
          <w:szCs w:val="24"/>
        </w:rPr>
      </w:pPr>
      <w:r w:rsidRPr="005B4246">
        <w:rPr>
          <w:rFonts w:ascii="Arial" w:hAnsi="Arial"/>
          <w:b/>
          <w:sz w:val="24"/>
          <w:szCs w:val="24"/>
        </w:rPr>
        <w:lastRenderedPageBreak/>
        <w:t>Palavras-chave</w:t>
      </w:r>
      <w:r w:rsidRPr="005B4246">
        <w:rPr>
          <w:rFonts w:ascii="Arial" w:hAnsi="Arial"/>
          <w:sz w:val="24"/>
          <w:szCs w:val="24"/>
        </w:rPr>
        <w:t>: Estado, Organização Internacional, Cooperação.</w:t>
      </w:r>
    </w:p>
    <w:p w:rsidR="00E238DC" w:rsidRDefault="00E238DC">
      <w:pPr>
        <w:jc w:val="both"/>
      </w:pPr>
    </w:p>
    <w:sectPr w:rsidR="00E238DC" w:rsidSect="007E3409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02D" w:rsidRDefault="0039702D" w:rsidP="004545DB">
      <w:pPr>
        <w:spacing w:line="240" w:lineRule="auto"/>
      </w:pPr>
      <w:r>
        <w:separator/>
      </w:r>
    </w:p>
  </w:endnote>
  <w:endnote w:type="continuationSeparator" w:id="0">
    <w:p w:rsidR="0039702D" w:rsidRDefault="0039702D" w:rsidP="004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02D" w:rsidRDefault="0039702D" w:rsidP="004545DB">
      <w:pPr>
        <w:spacing w:line="240" w:lineRule="auto"/>
      </w:pPr>
      <w:r>
        <w:separator/>
      </w:r>
    </w:p>
  </w:footnote>
  <w:footnote w:type="continuationSeparator" w:id="0">
    <w:p w:rsidR="0039702D" w:rsidRDefault="0039702D" w:rsidP="004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E73D0D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4pt;height:80.8pt" filled="t">
          <v:fill opacity="0" color2="black"/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7E34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4BD5"/>
    <w:rsid w:val="000A27A6"/>
    <w:rsid w:val="000B33CB"/>
    <w:rsid w:val="00100325"/>
    <w:rsid w:val="00214BD5"/>
    <w:rsid w:val="00285C60"/>
    <w:rsid w:val="0039702D"/>
    <w:rsid w:val="003A10D8"/>
    <w:rsid w:val="004505F6"/>
    <w:rsid w:val="005B4246"/>
    <w:rsid w:val="00620A25"/>
    <w:rsid w:val="007E3409"/>
    <w:rsid w:val="0094766A"/>
    <w:rsid w:val="00BE751B"/>
    <w:rsid w:val="00E238DC"/>
    <w:rsid w:val="00E73D0D"/>
    <w:rsid w:val="00EA7665"/>
    <w:rsid w:val="00FE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09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7E3409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E3409"/>
  </w:style>
  <w:style w:type="character" w:customStyle="1" w:styleId="WW8Num1z1">
    <w:name w:val="WW8Num1z1"/>
    <w:rsid w:val="007E3409"/>
  </w:style>
  <w:style w:type="character" w:customStyle="1" w:styleId="WW8Num1z2">
    <w:name w:val="WW8Num1z2"/>
    <w:rsid w:val="007E3409"/>
  </w:style>
  <w:style w:type="character" w:customStyle="1" w:styleId="WW8Num1z3">
    <w:name w:val="WW8Num1z3"/>
    <w:rsid w:val="007E3409"/>
  </w:style>
  <w:style w:type="character" w:customStyle="1" w:styleId="WW8Num1z4">
    <w:name w:val="WW8Num1z4"/>
    <w:rsid w:val="007E3409"/>
  </w:style>
  <w:style w:type="character" w:customStyle="1" w:styleId="WW8Num1z5">
    <w:name w:val="WW8Num1z5"/>
    <w:rsid w:val="007E3409"/>
  </w:style>
  <w:style w:type="character" w:customStyle="1" w:styleId="WW8Num1z6">
    <w:name w:val="WW8Num1z6"/>
    <w:rsid w:val="007E3409"/>
  </w:style>
  <w:style w:type="character" w:customStyle="1" w:styleId="WW8Num1z7">
    <w:name w:val="WW8Num1z7"/>
    <w:rsid w:val="007E3409"/>
  </w:style>
  <w:style w:type="character" w:customStyle="1" w:styleId="WW8Num1z8">
    <w:name w:val="WW8Num1z8"/>
    <w:rsid w:val="007E3409"/>
  </w:style>
  <w:style w:type="character" w:customStyle="1" w:styleId="Fontepargpadro1">
    <w:name w:val="Fonte parág. padrão1"/>
    <w:rsid w:val="007E3409"/>
  </w:style>
  <w:style w:type="character" w:customStyle="1" w:styleId="CabealhoChar">
    <w:name w:val="Cabeçalho Char"/>
    <w:basedOn w:val="Fontepargpadro1"/>
    <w:rsid w:val="007E3409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7E3409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7E3409"/>
    <w:rPr>
      <w:vertAlign w:val="superscript"/>
    </w:rPr>
  </w:style>
  <w:style w:type="character" w:styleId="Forte">
    <w:name w:val="Strong"/>
    <w:basedOn w:val="Fontepargpadro1"/>
    <w:qFormat/>
    <w:rsid w:val="007E3409"/>
    <w:rPr>
      <w:b/>
      <w:bCs/>
    </w:rPr>
  </w:style>
  <w:style w:type="character" w:customStyle="1" w:styleId="Ttulo1Char">
    <w:name w:val="Título 1 Char"/>
    <w:basedOn w:val="Fontepargpadro1"/>
    <w:rsid w:val="007E3409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7E3409"/>
  </w:style>
  <w:style w:type="character" w:customStyle="1" w:styleId="apple-converted-space">
    <w:name w:val="apple-converted-space"/>
    <w:basedOn w:val="Fontepargpadro2"/>
    <w:rsid w:val="007E3409"/>
  </w:style>
  <w:style w:type="paragraph" w:customStyle="1" w:styleId="Ttulo10">
    <w:name w:val="Título1"/>
    <w:basedOn w:val="Normal"/>
    <w:next w:val="Corpodetexto"/>
    <w:rsid w:val="007E34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7E3409"/>
    <w:pPr>
      <w:spacing w:after="140" w:line="288" w:lineRule="auto"/>
    </w:pPr>
  </w:style>
  <w:style w:type="paragraph" w:styleId="Lista">
    <w:name w:val="List"/>
    <w:basedOn w:val="Corpodetexto"/>
    <w:rsid w:val="007E3409"/>
    <w:rPr>
      <w:rFonts w:cs="Mangal"/>
    </w:rPr>
  </w:style>
  <w:style w:type="paragraph" w:styleId="Legenda">
    <w:name w:val="caption"/>
    <w:basedOn w:val="Normal"/>
    <w:qFormat/>
    <w:rsid w:val="007E3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E3409"/>
    <w:pPr>
      <w:suppressLineNumbers/>
    </w:pPr>
    <w:rPr>
      <w:rFonts w:cs="Mangal"/>
    </w:rPr>
  </w:style>
  <w:style w:type="paragraph" w:styleId="NormalWeb">
    <w:name w:val="Normal (Web)"/>
    <w:basedOn w:val="Normal"/>
    <w:rsid w:val="007E340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7E3409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7E3409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7E3409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3</cp:revision>
  <cp:lastPrinted>2016-06-17T17:18:00Z</cp:lastPrinted>
  <dcterms:created xsi:type="dcterms:W3CDTF">2016-06-28T01:29:00Z</dcterms:created>
  <dcterms:modified xsi:type="dcterms:W3CDTF">2016-06-28T01:31:00Z</dcterms:modified>
</cp:coreProperties>
</file>