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1A" w:rsidRPr="00CC421A" w:rsidRDefault="00CC421A" w:rsidP="00CC421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CC421A">
        <w:rPr>
          <w:rStyle w:val="normaltextrun"/>
          <w:rFonts w:ascii="Arial" w:hAnsi="Arial" w:cs="Arial"/>
          <w:b/>
          <w:bCs/>
          <w:color w:val="000000"/>
        </w:rPr>
        <w:t xml:space="preserve">O BENEFÍCIO DA </w:t>
      </w:r>
      <w:r w:rsidR="00BE3272">
        <w:rPr>
          <w:rStyle w:val="normaltextrun"/>
          <w:rFonts w:ascii="Arial" w:hAnsi="Arial" w:cs="Arial"/>
          <w:b/>
          <w:bCs/>
          <w:color w:val="000000"/>
        </w:rPr>
        <w:t>PRESTAÇÃO CONTINUADA E A DIVERGÊ</w:t>
      </w:r>
      <w:r w:rsidRPr="00CC421A">
        <w:rPr>
          <w:rStyle w:val="normaltextrun"/>
          <w:rFonts w:ascii="Arial" w:hAnsi="Arial" w:cs="Arial"/>
          <w:b/>
          <w:bCs/>
          <w:color w:val="000000"/>
        </w:rPr>
        <w:t>NCIA</w:t>
      </w:r>
      <w:r w:rsidRPr="00CC421A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BE3272">
        <w:rPr>
          <w:rStyle w:val="normaltextrun"/>
          <w:rFonts w:ascii="Arial" w:hAnsi="Arial" w:cs="Arial"/>
          <w:b/>
          <w:bCs/>
          <w:color w:val="000000"/>
        </w:rPr>
        <w:t>SOBRE O REQUISITO LEG</w:t>
      </w:r>
      <w:r w:rsidR="0046289C">
        <w:rPr>
          <w:rStyle w:val="normaltextrun"/>
          <w:rFonts w:ascii="Arial" w:hAnsi="Arial" w:cs="Arial"/>
          <w:b/>
          <w:bCs/>
          <w:color w:val="000000"/>
        </w:rPr>
        <w:t>AL DA MISERABILIDADE NAS CONCEPÇÕ</w:t>
      </w:r>
      <w:bookmarkStart w:id="0" w:name="_GoBack"/>
      <w:bookmarkEnd w:id="0"/>
      <w:r w:rsidR="00BE3272">
        <w:rPr>
          <w:rStyle w:val="normaltextrun"/>
          <w:rFonts w:ascii="Arial" w:hAnsi="Arial" w:cs="Arial"/>
          <w:b/>
          <w:bCs/>
          <w:color w:val="000000"/>
        </w:rPr>
        <w:t>ES DO</w:t>
      </w:r>
      <w:r w:rsidR="00C13BDE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CC421A">
        <w:rPr>
          <w:rStyle w:val="normaltextrun"/>
          <w:rFonts w:ascii="Arial" w:hAnsi="Arial" w:cs="Arial"/>
          <w:b/>
          <w:bCs/>
          <w:color w:val="000000"/>
        </w:rPr>
        <w:t xml:space="preserve">INSTITUTO NACIONAL DA SEGURIDADE SOCIAL E </w:t>
      </w:r>
      <w:r w:rsidR="00BE3272">
        <w:rPr>
          <w:rStyle w:val="normaltextrun"/>
          <w:rFonts w:ascii="Arial" w:hAnsi="Arial" w:cs="Arial"/>
          <w:b/>
          <w:bCs/>
          <w:color w:val="000000"/>
        </w:rPr>
        <w:t>D</w:t>
      </w:r>
      <w:r w:rsidRPr="00CC421A">
        <w:rPr>
          <w:rStyle w:val="normaltextrun"/>
          <w:rFonts w:ascii="Arial" w:hAnsi="Arial" w:cs="Arial"/>
          <w:b/>
          <w:bCs/>
          <w:color w:val="000000"/>
        </w:rPr>
        <w:t>O SUPREMO TRIBUNAL FEDERAL</w:t>
      </w:r>
      <w:r w:rsidRPr="00CC421A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CC421A">
        <w:rPr>
          <w:rStyle w:val="eop"/>
          <w:rFonts w:ascii="Arial" w:hAnsi="Arial" w:cs="Arial"/>
        </w:rPr>
        <w:t> </w:t>
      </w:r>
    </w:p>
    <w:p w:rsidR="00CC421A" w:rsidRPr="00CC421A" w:rsidRDefault="00CC421A" w:rsidP="00CC421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CC421A" w:rsidRPr="00CC421A" w:rsidRDefault="00A37AB1" w:rsidP="00CC421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hAnsi="Arial" w:cs="Arial"/>
        </w:rPr>
      </w:pPr>
      <w:r w:rsidRPr="00CC421A">
        <w:rPr>
          <w:rStyle w:val="eop"/>
          <w:rFonts w:ascii="Arial" w:hAnsi="Arial" w:cs="Arial"/>
        </w:rPr>
        <w:t>Bruno</w:t>
      </w:r>
      <w:r>
        <w:rPr>
          <w:rStyle w:val="eop"/>
          <w:rFonts w:ascii="Arial" w:hAnsi="Arial" w:cs="Arial"/>
        </w:rPr>
        <w:t xml:space="preserve"> dos Santos</w:t>
      </w:r>
      <w:r w:rsidRPr="00CC421A">
        <w:rPr>
          <w:rStyle w:val="eop"/>
          <w:rFonts w:ascii="Arial" w:hAnsi="Arial" w:cs="Arial"/>
        </w:rPr>
        <w:t xml:space="preserve"> Martins</w:t>
      </w:r>
      <w:r w:rsidR="00CC421A">
        <w:rPr>
          <w:rStyle w:val="Refdenotaderodap"/>
          <w:rFonts w:ascii="Arial" w:hAnsi="Arial" w:cs="Arial"/>
        </w:rPr>
        <w:footnoteReference w:id="1"/>
      </w:r>
    </w:p>
    <w:p w:rsidR="00C13BDE" w:rsidRDefault="00A37AB1" w:rsidP="00C13BDE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Camila Silveira Médici</w:t>
      </w:r>
      <w:r>
        <w:rPr>
          <w:rStyle w:val="Refdenotaderodap"/>
          <w:rFonts w:ascii="Arial" w:hAnsi="Arial" w:cs="Arial"/>
        </w:rPr>
        <w:t xml:space="preserve"> </w:t>
      </w:r>
      <w:r w:rsidR="00CC421A">
        <w:rPr>
          <w:rStyle w:val="Refdenotaderodap"/>
          <w:rFonts w:ascii="Arial" w:hAnsi="Arial" w:cs="Arial"/>
        </w:rPr>
        <w:footnoteReference w:id="2"/>
      </w:r>
    </w:p>
    <w:p w:rsidR="00C13BDE" w:rsidRDefault="00C13BDE" w:rsidP="00C13BDE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Carlos Henrique Moura </w:t>
      </w:r>
      <w:proofErr w:type="spellStart"/>
      <w:r>
        <w:rPr>
          <w:rStyle w:val="eop"/>
          <w:rFonts w:ascii="Arial" w:hAnsi="Arial" w:cs="Arial"/>
        </w:rPr>
        <w:t>Alfaya</w:t>
      </w:r>
      <w:proofErr w:type="spellEnd"/>
      <w:r>
        <w:rPr>
          <w:rStyle w:val="Refdenotaderodap"/>
          <w:rFonts w:ascii="Arial" w:hAnsi="Arial" w:cs="Arial"/>
        </w:rPr>
        <w:footnoteReference w:id="3"/>
      </w:r>
    </w:p>
    <w:p w:rsidR="00C13BDE" w:rsidRDefault="00A37AB1" w:rsidP="00C13BDE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Isadora </w:t>
      </w:r>
      <w:proofErr w:type="spellStart"/>
      <w:r>
        <w:rPr>
          <w:rStyle w:val="eop"/>
          <w:rFonts w:ascii="Arial" w:hAnsi="Arial" w:cs="Arial"/>
        </w:rPr>
        <w:t>Morocini</w:t>
      </w:r>
      <w:proofErr w:type="spellEnd"/>
      <w:r>
        <w:rPr>
          <w:rStyle w:val="eop"/>
          <w:rFonts w:ascii="Arial" w:hAnsi="Arial" w:cs="Arial"/>
        </w:rPr>
        <w:t xml:space="preserve"> Giordano</w:t>
      </w:r>
      <w:r>
        <w:rPr>
          <w:rStyle w:val="Refdenotaderodap"/>
          <w:rFonts w:ascii="Arial" w:hAnsi="Arial" w:cs="Arial"/>
        </w:rPr>
        <w:t xml:space="preserve"> </w:t>
      </w:r>
      <w:r w:rsidR="00C13BDE">
        <w:rPr>
          <w:rStyle w:val="Refdenotaderodap"/>
          <w:rFonts w:ascii="Arial" w:hAnsi="Arial" w:cs="Arial"/>
        </w:rPr>
        <w:footnoteReference w:id="4"/>
      </w:r>
    </w:p>
    <w:p w:rsidR="00C13BDE" w:rsidRPr="00CC421A" w:rsidRDefault="00A37AB1" w:rsidP="00C13BDE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hAnsi="Arial" w:cs="Arial"/>
        </w:rPr>
      </w:pPr>
      <w:proofErr w:type="spellStart"/>
      <w:r w:rsidRPr="00CC421A">
        <w:rPr>
          <w:rStyle w:val="eop"/>
          <w:rFonts w:ascii="Arial" w:hAnsi="Arial" w:cs="Arial"/>
        </w:rPr>
        <w:t>Nikolas</w:t>
      </w:r>
      <w:proofErr w:type="spellEnd"/>
      <w:r w:rsidRPr="00CC421A">
        <w:rPr>
          <w:rStyle w:val="eop"/>
          <w:rFonts w:ascii="Arial" w:hAnsi="Arial" w:cs="Arial"/>
        </w:rPr>
        <w:t xml:space="preserve"> D’Ávila</w:t>
      </w:r>
      <w:r>
        <w:rPr>
          <w:rStyle w:val="eop"/>
          <w:rFonts w:ascii="Arial" w:hAnsi="Arial" w:cs="Arial"/>
        </w:rPr>
        <w:t xml:space="preserve"> Evangelista</w:t>
      </w:r>
      <w:r>
        <w:rPr>
          <w:rStyle w:val="Refdenotaderodap"/>
          <w:rFonts w:ascii="Arial" w:hAnsi="Arial" w:cs="Arial"/>
        </w:rPr>
        <w:t xml:space="preserve"> </w:t>
      </w:r>
      <w:r w:rsidR="00C13BDE">
        <w:rPr>
          <w:rStyle w:val="Refdenotaderodap"/>
          <w:rFonts w:ascii="Arial" w:hAnsi="Arial" w:cs="Arial"/>
        </w:rPr>
        <w:footnoteReference w:id="5"/>
      </w:r>
    </w:p>
    <w:p w:rsidR="00CC421A" w:rsidRPr="00CC421A" w:rsidRDefault="00CC421A" w:rsidP="00CC421A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 w:rsidRPr="00CC421A">
        <w:rPr>
          <w:rStyle w:val="eop"/>
          <w:rFonts w:ascii="Arial" w:hAnsi="Arial" w:cs="Arial"/>
        </w:rPr>
        <w:t>Lourdes Helena Martins da Silva</w:t>
      </w:r>
      <w:r>
        <w:rPr>
          <w:rStyle w:val="Refdenotaderodap"/>
          <w:rFonts w:ascii="Arial" w:hAnsi="Arial" w:cs="Arial"/>
        </w:rPr>
        <w:footnoteReference w:id="6"/>
      </w:r>
    </w:p>
    <w:p w:rsidR="00CC421A" w:rsidRPr="00CC421A" w:rsidRDefault="00CC421A" w:rsidP="00CC421A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 w:rsidRPr="00CC421A">
        <w:rPr>
          <w:rStyle w:val="eop"/>
          <w:rFonts w:ascii="Arial" w:hAnsi="Arial" w:cs="Arial"/>
        </w:rPr>
        <w:t> </w:t>
      </w:r>
    </w:p>
    <w:p w:rsidR="00CC421A" w:rsidRPr="00CC421A" w:rsidRDefault="00CC421A" w:rsidP="00CC421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C421A">
        <w:rPr>
          <w:rStyle w:val="normaltextrun"/>
          <w:rFonts w:ascii="Arial" w:hAnsi="Arial" w:cs="Arial"/>
          <w:color w:val="000000"/>
        </w:rPr>
        <w:t>A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="00BE3272">
        <w:rPr>
          <w:rStyle w:val="normaltextrun"/>
          <w:rFonts w:ascii="Arial" w:hAnsi="Arial" w:cs="Arial"/>
          <w:color w:val="000000"/>
        </w:rPr>
        <w:t>Constituição da República Federal de 1988 prevê,</w:t>
      </w:r>
      <w:r w:rsidRPr="00CC421A">
        <w:rPr>
          <w:rStyle w:val="normaltextrun"/>
          <w:rFonts w:ascii="Arial" w:hAnsi="Arial" w:cs="Arial"/>
          <w:color w:val="000000"/>
        </w:rPr>
        <w:t xml:space="preserve"> em seu artigo 203, inciso V</w:t>
      </w:r>
      <w:r w:rsidR="00BE3272">
        <w:rPr>
          <w:rStyle w:val="apple-converted-space"/>
          <w:rFonts w:ascii="Arial" w:hAnsi="Arial" w:cs="Arial"/>
          <w:color w:val="000000"/>
        </w:rPr>
        <w:t>, regra que contempla criação de benefício de natureza assistencial que beneficia aquelas pessoas que estão exc</w:t>
      </w:r>
      <w:r w:rsidR="00863D82">
        <w:rPr>
          <w:rStyle w:val="apple-converted-space"/>
          <w:rFonts w:ascii="Arial" w:hAnsi="Arial" w:cs="Arial"/>
          <w:color w:val="000000"/>
        </w:rPr>
        <w:t>luídas do processo de trabalho,</w:t>
      </w:r>
      <w:r w:rsidR="00BE3272">
        <w:rPr>
          <w:rStyle w:val="apple-converted-space"/>
          <w:rFonts w:ascii="Arial" w:hAnsi="Arial" w:cs="Arial"/>
          <w:color w:val="000000"/>
        </w:rPr>
        <w:t xml:space="preserve"> pelas condições físicas incapacitantes ou pela idade e falta de outras condições econômicas que lhes assegure a subsistência, já que o ingresso no mercado de trabalho e o oferecimento da mão-de-obra de cada um é, ao lado da iniciativa privada, o sustentáculo da ordem econômica vigente. Por meio dessa regra constitucional,</w:t>
      </w:r>
      <w:r w:rsidR="00BE3272">
        <w:rPr>
          <w:rStyle w:val="normaltextrun"/>
          <w:rFonts w:ascii="Arial" w:hAnsi="Arial" w:cs="Arial"/>
          <w:color w:val="000000"/>
        </w:rPr>
        <w:t xml:space="preserve"> possibilita-se que pessoas</w:t>
      </w:r>
      <w:r w:rsidRPr="00CC421A">
        <w:rPr>
          <w:rStyle w:val="normaltextrun"/>
          <w:rFonts w:ascii="Arial" w:hAnsi="Arial" w:cs="Arial"/>
          <w:color w:val="000000"/>
        </w:rPr>
        <w:t xml:space="preserve"> que </w:t>
      </w:r>
      <w:r w:rsidR="00BE3272">
        <w:rPr>
          <w:rStyle w:val="normaltextrun"/>
          <w:rFonts w:ascii="Arial" w:hAnsi="Arial" w:cs="Arial"/>
          <w:color w:val="000000"/>
        </w:rPr>
        <w:t xml:space="preserve">não tenham contribuído para </w:t>
      </w:r>
      <w:proofErr w:type="gramStart"/>
      <w:r w:rsidR="00BE3272">
        <w:rPr>
          <w:rStyle w:val="normaltextrun"/>
          <w:rFonts w:ascii="Arial" w:hAnsi="Arial" w:cs="Arial"/>
          <w:color w:val="000000"/>
        </w:rPr>
        <w:t>à</w:t>
      </w:r>
      <w:proofErr w:type="gramEnd"/>
      <w:r w:rsidR="00BE3272">
        <w:rPr>
          <w:rStyle w:val="normaltextrun"/>
          <w:rFonts w:ascii="Arial" w:hAnsi="Arial" w:cs="Arial"/>
          <w:color w:val="000000"/>
        </w:rPr>
        <w:t xml:space="preserve"> Previdência Social, recebam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beneficio de prestação continuada que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="00863D82">
        <w:rPr>
          <w:rStyle w:val="normaltextrun"/>
          <w:rFonts w:ascii="Arial" w:hAnsi="Arial" w:cs="Arial"/>
          <w:color w:val="000000"/>
        </w:rPr>
        <w:t xml:space="preserve">visa </w:t>
      </w:r>
      <w:r w:rsidRPr="00CC421A">
        <w:rPr>
          <w:rStyle w:val="normaltextrun"/>
          <w:rFonts w:ascii="Arial" w:hAnsi="Arial" w:cs="Arial"/>
          <w:color w:val="000000"/>
        </w:rPr>
        <w:t>conceder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o mínimo necessário à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existência</w:t>
      </w:r>
      <w:r w:rsidR="00863D82">
        <w:rPr>
          <w:rStyle w:val="normaltextrun"/>
          <w:rFonts w:ascii="Arial" w:hAnsi="Arial" w:cs="Arial"/>
          <w:color w:val="000000"/>
        </w:rPr>
        <w:t xml:space="preserve"> </w:t>
      </w:r>
      <w:r w:rsidRPr="00CC421A">
        <w:rPr>
          <w:rStyle w:val="normaltextrun"/>
          <w:rFonts w:ascii="Arial" w:hAnsi="Arial" w:cs="Arial"/>
          <w:color w:val="000000"/>
        </w:rPr>
        <w:t>financeira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de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idosos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e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deficientes,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="00BE3272">
        <w:rPr>
          <w:rStyle w:val="normaltextrun"/>
          <w:rFonts w:ascii="Arial" w:hAnsi="Arial" w:cs="Arial"/>
          <w:color w:val="000000"/>
        </w:rPr>
        <w:t xml:space="preserve">havendo este sido regulamentado pela </w:t>
      </w:r>
      <w:r w:rsidRPr="00CC421A">
        <w:rPr>
          <w:rStyle w:val="normaltextrun"/>
          <w:rFonts w:ascii="Arial" w:hAnsi="Arial" w:cs="Arial"/>
          <w:color w:val="000000"/>
        </w:rPr>
        <w:t>Lei Orgânica da Assistência Social – LOAS, 8.742/93 de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7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de dezembro de 1993. Para a percepção deste benefício</w:t>
      </w:r>
      <w:r w:rsidR="00BE3272">
        <w:rPr>
          <w:rStyle w:val="normaltextrun"/>
          <w:rFonts w:ascii="Arial" w:hAnsi="Arial" w:cs="Arial"/>
          <w:color w:val="000000"/>
        </w:rPr>
        <w:t xml:space="preserve"> de prestação continuada ou </w:t>
      </w:r>
      <w:proofErr w:type="gramStart"/>
      <w:r w:rsidR="00BE3272">
        <w:rPr>
          <w:rStyle w:val="normaltextrun"/>
          <w:rFonts w:ascii="Arial" w:hAnsi="Arial" w:cs="Arial"/>
          <w:color w:val="000000"/>
        </w:rPr>
        <w:t>da LOAS</w:t>
      </w:r>
      <w:proofErr w:type="gramEnd"/>
      <w:r w:rsidRPr="00CC421A">
        <w:rPr>
          <w:rStyle w:val="normaltextrun"/>
          <w:rFonts w:ascii="Arial" w:hAnsi="Arial" w:cs="Arial"/>
          <w:color w:val="000000"/>
        </w:rPr>
        <w:t>, é necessário o preenchimen</w:t>
      </w:r>
      <w:r w:rsidR="00BE3272">
        <w:rPr>
          <w:rStyle w:val="normaltextrun"/>
          <w:rFonts w:ascii="Arial" w:hAnsi="Arial" w:cs="Arial"/>
          <w:color w:val="000000"/>
        </w:rPr>
        <w:t xml:space="preserve">to de determinados requisitos legais, dentre os quais o da miserabilidade previsto no 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spellingerror"/>
          <w:rFonts w:ascii="Arial" w:hAnsi="Arial" w:cs="Arial"/>
        </w:rPr>
        <w:t>art</w:t>
      </w:r>
      <w:r w:rsidR="00BE3272">
        <w:rPr>
          <w:rStyle w:val="normaltextrun"/>
          <w:rFonts w:ascii="Arial" w:hAnsi="Arial" w:cs="Arial"/>
        </w:rPr>
        <w:t xml:space="preserve">igo </w:t>
      </w:r>
      <w:r w:rsidRPr="00CC421A">
        <w:rPr>
          <w:rStyle w:val="apple-converted-space"/>
          <w:rFonts w:ascii="Arial" w:hAnsi="Arial" w:cs="Arial"/>
        </w:rPr>
        <w:t> </w:t>
      </w:r>
      <w:r w:rsidRPr="00CC421A">
        <w:rPr>
          <w:rStyle w:val="normaltextrun"/>
          <w:rFonts w:ascii="Arial" w:hAnsi="Arial" w:cs="Arial"/>
        </w:rPr>
        <w:t xml:space="preserve">20, </w:t>
      </w:r>
      <w:r w:rsidR="00BE3272">
        <w:rPr>
          <w:rStyle w:val="normaltextrun"/>
          <w:rFonts w:ascii="Arial" w:hAnsi="Arial" w:cs="Arial"/>
        </w:rPr>
        <w:t>parágrafo 3º, da Lei supracitada. Neste dispositivo a lei determina como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critério para obtenção do beneficio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que a pessoa seja considerada incapaz de provar a subsistência de sua família, tendo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renda mensal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i/>
          <w:iCs/>
          <w:color w:val="000000"/>
        </w:rPr>
        <w:t>per capital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inferior a um quarto do salário-mínimo.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O presente trabalho pretende analisar as razões que fundam o estabelecimento de uma divergência entre a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compreensão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que o INSS tem da leitura do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artigo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 xml:space="preserve">20, parágrafo 3, </w:t>
      </w:r>
      <w:proofErr w:type="gramStart"/>
      <w:r w:rsidRPr="00CC421A">
        <w:rPr>
          <w:rStyle w:val="normaltextrun"/>
          <w:rFonts w:ascii="Arial" w:hAnsi="Arial" w:cs="Arial"/>
          <w:color w:val="000000"/>
        </w:rPr>
        <w:t>da LOAS</w:t>
      </w:r>
      <w:proofErr w:type="gramEnd"/>
      <w:r w:rsidRPr="00CC421A">
        <w:rPr>
          <w:rStyle w:val="normaltextrun"/>
          <w:rFonts w:ascii="Arial" w:hAnsi="Arial" w:cs="Arial"/>
          <w:color w:val="000000"/>
        </w:rPr>
        <w:t xml:space="preserve"> em contraposição ao </w:t>
      </w:r>
      <w:r w:rsidR="00BE3272">
        <w:rPr>
          <w:rStyle w:val="normaltextrun"/>
          <w:rFonts w:ascii="Arial" w:hAnsi="Arial" w:cs="Arial"/>
          <w:color w:val="000000"/>
        </w:rPr>
        <w:t xml:space="preserve">entendimento do </w:t>
      </w:r>
      <w:r w:rsidRPr="00CC421A">
        <w:rPr>
          <w:rStyle w:val="normaltextrun"/>
          <w:rFonts w:ascii="Arial" w:hAnsi="Arial" w:cs="Arial"/>
          <w:color w:val="000000"/>
        </w:rPr>
        <w:t>Supremo Tribunal Federal- STF.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CC421A">
        <w:rPr>
          <w:rStyle w:val="spellingerror"/>
          <w:rFonts w:ascii="Arial" w:hAnsi="Arial" w:cs="Arial"/>
          <w:color w:val="000000"/>
        </w:rPr>
        <w:t>Averiguam-se</w:t>
      </w:r>
      <w:proofErr w:type="spellEnd"/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os conceitos de benefício de prestação continuada, identificando-se seu objetivo e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requisitos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estabelecidos em lei,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analisando-se, ainda,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os julgados da Justiça Federal da Subseção de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 xml:space="preserve">Bagé frente </w:t>
      </w:r>
      <w:r w:rsidR="00D4049E">
        <w:rPr>
          <w:rStyle w:val="normaltextrun"/>
          <w:rFonts w:ascii="Arial" w:hAnsi="Arial" w:cs="Arial"/>
          <w:color w:val="000000"/>
        </w:rPr>
        <w:t xml:space="preserve">ao entendimento do </w:t>
      </w:r>
      <w:r w:rsidRPr="00CC421A">
        <w:rPr>
          <w:rStyle w:val="normaltextrun"/>
          <w:rFonts w:ascii="Arial" w:hAnsi="Arial" w:cs="Arial"/>
          <w:color w:val="000000"/>
        </w:rPr>
        <w:t>INSS</w:t>
      </w:r>
      <w:r w:rsidR="00D4049E">
        <w:rPr>
          <w:rStyle w:val="normaltextrun"/>
          <w:rFonts w:ascii="Arial" w:hAnsi="Arial" w:cs="Arial"/>
          <w:color w:val="000000"/>
        </w:rPr>
        <w:t xml:space="preserve"> nos processos administrativos e a Ação Direta de Inconstitucionalidade- ADI de nº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1.232 revisad</w:t>
      </w:r>
      <w:r w:rsidR="00D4049E">
        <w:rPr>
          <w:rStyle w:val="normaltextrun"/>
          <w:rFonts w:ascii="Arial" w:hAnsi="Arial" w:cs="Arial"/>
          <w:color w:val="000000"/>
        </w:rPr>
        <w:t>a pelo STF em 2013 na</w:t>
      </w:r>
      <w:r w:rsidRPr="00CC421A">
        <w:rPr>
          <w:rStyle w:val="normaltextrun"/>
          <w:rFonts w:ascii="Arial" w:hAnsi="Arial" w:cs="Arial"/>
          <w:color w:val="000000"/>
        </w:rPr>
        <w:t xml:space="preserve"> Reclamação 4374. </w:t>
      </w:r>
      <w:r w:rsidR="00D4049E">
        <w:rPr>
          <w:rStyle w:val="normaltextrun"/>
          <w:rFonts w:ascii="Arial" w:hAnsi="Arial" w:cs="Arial"/>
          <w:color w:val="000000"/>
        </w:rPr>
        <w:t xml:space="preserve">Na ADI 1.232, em 1994, o Supremo Tribunal Federal havia entendido constitucional a definição do critério de miserabilidade pela literalidade do disposto </w:t>
      </w:r>
      <w:proofErr w:type="gramStart"/>
      <w:r w:rsidR="00D4049E">
        <w:rPr>
          <w:rStyle w:val="normaltextrun"/>
          <w:rFonts w:ascii="Arial" w:hAnsi="Arial" w:cs="Arial"/>
          <w:color w:val="000000"/>
        </w:rPr>
        <w:t>na LOAS</w:t>
      </w:r>
      <w:proofErr w:type="gramEnd"/>
      <w:r w:rsidR="00D4049E">
        <w:rPr>
          <w:rStyle w:val="normaltextrun"/>
          <w:rFonts w:ascii="Arial" w:hAnsi="Arial" w:cs="Arial"/>
          <w:color w:val="000000"/>
        </w:rPr>
        <w:t>, havendo mudado esse entendimento em abril de 2013, quando afirmou a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inconstitucionalidade do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critério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de miserabilidade exigida em lei,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="00D4049E">
        <w:rPr>
          <w:rStyle w:val="normaltextrun"/>
          <w:rFonts w:ascii="Arial" w:hAnsi="Arial" w:cs="Arial"/>
          <w:color w:val="000000"/>
        </w:rPr>
        <w:t xml:space="preserve">afirmando que </w:t>
      </w:r>
      <w:r w:rsidRPr="00CC421A">
        <w:rPr>
          <w:rStyle w:val="normaltextrun"/>
          <w:rFonts w:ascii="Arial" w:hAnsi="Arial" w:cs="Arial"/>
          <w:color w:val="000000"/>
        </w:rPr>
        <w:t>a aferição da renda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i/>
          <w:iCs/>
          <w:color w:val="000000"/>
        </w:rPr>
        <w:t xml:space="preserve">per </w:t>
      </w:r>
      <w:r w:rsidRPr="00CC421A">
        <w:rPr>
          <w:rStyle w:val="normaltextrun"/>
          <w:rFonts w:ascii="Arial" w:hAnsi="Arial" w:cs="Arial"/>
          <w:i/>
          <w:iCs/>
          <w:color w:val="000000"/>
        </w:rPr>
        <w:lastRenderedPageBreak/>
        <w:t>capita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familiar como critério de concessão do benefício assistencial passar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a ser o de renda mensal inferior a meio salário mínimo. A discuss</w:t>
      </w:r>
      <w:r w:rsidR="00D4049E">
        <w:rPr>
          <w:rStyle w:val="normaltextrun"/>
          <w:rFonts w:ascii="Arial" w:hAnsi="Arial" w:cs="Arial"/>
          <w:color w:val="000000"/>
        </w:rPr>
        <w:t>ão acerca do tema proposto deu-se</w:t>
      </w:r>
      <w:r w:rsidRPr="00CC421A">
        <w:rPr>
          <w:rStyle w:val="normaltextrun"/>
          <w:rFonts w:ascii="Arial" w:hAnsi="Arial" w:cs="Arial"/>
          <w:color w:val="000000"/>
        </w:rPr>
        <w:t xml:space="preserve"> pela via de controle de constitucionalidade,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onde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os pressupostos para que o referido benefício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seja concedido possuem,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na visão do Instituto da Seguridade Social,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critérios objetivos que não permitem interpretação diferente da expressa na norma</w:t>
      </w:r>
      <w:r w:rsidR="00D4049E">
        <w:rPr>
          <w:rStyle w:val="normaltextrun"/>
          <w:rFonts w:ascii="Arial" w:hAnsi="Arial" w:cs="Arial"/>
          <w:color w:val="000000"/>
        </w:rPr>
        <w:t xml:space="preserve">tiva legal. </w:t>
      </w:r>
      <w:r w:rsidRPr="00CC421A">
        <w:rPr>
          <w:rStyle w:val="normaltextrun"/>
          <w:rFonts w:ascii="Arial" w:hAnsi="Arial" w:cs="Arial"/>
          <w:color w:val="000000"/>
        </w:rPr>
        <w:t>O método de procedim</w:t>
      </w:r>
      <w:r w:rsidR="00D4049E">
        <w:rPr>
          <w:rStyle w:val="normaltextrun"/>
          <w:rFonts w:ascii="Arial" w:hAnsi="Arial" w:cs="Arial"/>
          <w:color w:val="000000"/>
        </w:rPr>
        <w:t>ento tem caráter dedutivo, tratando-se de</w:t>
      </w:r>
      <w:r w:rsidRPr="00CC421A">
        <w:rPr>
          <w:rStyle w:val="normaltextrun"/>
          <w:rFonts w:ascii="Arial" w:hAnsi="Arial" w:cs="Arial"/>
          <w:color w:val="000000"/>
        </w:rPr>
        <w:t xml:space="preserve"> uma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pesquisa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 xml:space="preserve">exploratória e descritiva onde </w:t>
      </w:r>
      <w:proofErr w:type="gramStart"/>
      <w:r w:rsidRPr="00CC421A">
        <w:rPr>
          <w:rStyle w:val="normaltextrun"/>
          <w:rFonts w:ascii="Arial" w:hAnsi="Arial" w:cs="Arial"/>
          <w:color w:val="000000"/>
        </w:rPr>
        <w:t>trabalhou-se</w:t>
      </w:r>
      <w:proofErr w:type="gramEnd"/>
      <w:r w:rsidRPr="00CC421A">
        <w:rPr>
          <w:rStyle w:val="normaltextrun"/>
          <w:rFonts w:ascii="Arial" w:hAnsi="Arial" w:cs="Arial"/>
          <w:color w:val="000000"/>
        </w:rPr>
        <w:t xml:space="preserve"> com revisão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bibliográfica,  análise de documentos e de julgados.  Embora em sede administrativa , a autarquia federal continue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exigindo que a renda per capita seja 1/4 do salário mínimo para sua concessão, na esfera judicial, considerando a Subseção Judiciária de Bagé, o entendimento é que deve prevalecer a posição do STF, concedendo-se o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benefício</w:t>
      </w:r>
      <w:r w:rsidRPr="00CC421A">
        <w:rPr>
          <w:rStyle w:val="apple-converted-space"/>
          <w:rFonts w:ascii="Arial" w:hAnsi="Arial" w:cs="Arial"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do LOAS quando a renda per capita não ultrapasse meio salário mínimo.</w:t>
      </w:r>
      <w:r w:rsidRPr="00CC421A">
        <w:rPr>
          <w:rStyle w:val="eop"/>
          <w:rFonts w:ascii="Arial" w:hAnsi="Arial" w:cs="Arial"/>
        </w:rPr>
        <w:t> </w:t>
      </w:r>
    </w:p>
    <w:p w:rsidR="00CC421A" w:rsidRPr="00CC421A" w:rsidRDefault="00CC421A" w:rsidP="00CC421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C421A">
        <w:rPr>
          <w:rStyle w:val="normaltextrun"/>
          <w:rFonts w:ascii="Arial" w:hAnsi="Arial" w:cs="Arial"/>
          <w:b/>
          <w:bCs/>
          <w:color w:val="000000"/>
        </w:rPr>
        <w:t>Palavras-chave:</w:t>
      </w:r>
      <w:r w:rsidRPr="00CC421A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CC421A">
        <w:rPr>
          <w:rStyle w:val="normaltextrun"/>
          <w:rFonts w:ascii="Arial" w:hAnsi="Arial" w:cs="Arial"/>
          <w:color w:val="000000"/>
        </w:rPr>
        <w:t>LOAS- Hipossuficiência - Constitucionalidade</w:t>
      </w:r>
    </w:p>
    <w:p w:rsidR="006B0B5D" w:rsidRDefault="006B0B5D"/>
    <w:sectPr w:rsidR="006B0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C3C" w:rsidRDefault="00D24C3C" w:rsidP="00CC421A">
      <w:pPr>
        <w:spacing w:after="0" w:line="240" w:lineRule="auto"/>
      </w:pPr>
      <w:r>
        <w:separator/>
      </w:r>
    </w:p>
  </w:endnote>
  <w:endnote w:type="continuationSeparator" w:id="0">
    <w:p w:rsidR="00D24C3C" w:rsidRDefault="00D24C3C" w:rsidP="00CC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C3C" w:rsidRDefault="00D24C3C" w:rsidP="00CC421A">
      <w:pPr>
        <w:spacing w:after="0" w:line="240" w:lineRule="auto"/>
      </w:pPr>
      <w:r>
        <w:separator/>
      </w:r>
    </w:p>
  </w:footnote>
  <w:footnote w:type="continuationSeparator" w:id="0">
    <w:p w:rsidR="00D24C3C" w:rsidRDefault="00D24C3C" w:rsidP="00CC421A">
      <w:pPr>
        <w:spacing w:after="0" w:line="240" w:lineRule="auto"/>
      </w:pPr>
      <w:r>
        <w:continuationSeparator/>
      </w:r>
    </w:p>
  </w:footnote>
  <w:footnote w:id="1">
    <w:p w:rsidR="00CC421A" w:rsidRDefault="00CC421A">
      <w:pPr>
        <w:pStyle w:val="Textodenotaderodap"/>
      </w:pPr>
      <w:r>
        <w:rPr>
          <w:rStyle w:val="Refdenotaderodap"/>
        </w:rPr>
        <w:footnoteRef/>
      </w:r>
      <w:r>
        <w:t xml:space="preserve"> Graduando do Curso de Direito da URCAMP, Bagé, endereço eletrônico:</w:t>
      </w:r>
      <w:r w:rsidR="00A37AB1" w:rsidRPr="00A37AB1">
        <w:t xml:space="preserve"> </w:t>
      </w:r>
      <w:proofErr w:type="gramStart"/>
      <w:r w:rsidR="00A37AB1" w:rsidRPr="00C13BDE">
        <w:t>gunterrs@gmail.com</w:t>
      </w:r>
      <w:proofErr w:type="gramEnd"/>
      <w:r w:rsidR="002E6E16" w:rsidRPr="002E6E16">
        <w:rPr>
          <w:rFonts w:ascii="Arial" w:hAnsi="Arial" w:cs="Arial"/>
          <w:color w:val="555555"/>
          <w:shd w:val="clear" w:color="auto" w:fill="FFFFFF"/>
        </w:rPr>
        <w:t xml:space="preserve"> </w:t>
      </w:r>
    </w:p>
  </w:footnote>
  <w:footnote w:id="2">
    <w:p w:rsidR="00C13BDE" w:rsidRDefault="00CC421A">
      <w:pPr>
        <w:pStyle w:val="Textodenotaderodap"/>
      </w:pPr>
      <w:r>
        <w:rPr>
          <w:rStyle w:val="Refdenotaderodap"/>
        </w:rPr>
        <w:footnoteRef/>
      </w:r>
      <w:r>
        <w:t xml:space="preserve"> Graduando do Curso de Direito da URCAMP, Bagé, endereço eletrônico:</w:t>
      </w:r>
      <w:r w:rsidR="00A37AB1" w:rsidRPr="00A37AB1">
        <w:t xml:space="preserve"> </w:t>
      </w:r>
      <w:proofErr w:type="gramStart"/>
      <w:r w:rsidR="00A37AB1">
        <w:t>camismedici24@gmail.com</w:t>
      </w:r>
      <w:proofErr w:type="gramEnd"/>
      <w:r w:rsidR="00C13BDE">
        <w:t xml:space="preserve"> </w:t>
      </w:r>
    </w:p>
  </w:footnote>
  <w:footnote w:id="3">
    <w:p w:rsidR="00C13BDE" w:rsidRDefault="00C13BD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C343A4">
        <w:t>Graduando do Curso de Direito da URCAMP, Bagé, endereço eletrônico:</w:t>
      </w:r>
      <w:r w:rsidR="00A37AB1">
        <w:t xml:space="preserve"> </w:t>
      </w:r>
      <w:proofErr w:type="gramStart"/>
      <w:r w:rsidR="00C343A4">
        <w:t>chalfaya@gmail.com</w:t>
      </w:r>
      <w:proofErr w:type="gramEnd"/>
      <w:r w:rsidR="00C343A4">
        <w:t xml:space="preserve"> </w:t>
      </w:r>
    </w:p>
  </w:footnote>
  <w:footnote w:id="4">
    <w:p w:rsidR="00C13BDE" w:rsidRDefault="00C13BD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C343A4">
        <w:t>Graduando do Curso de Direito da URCAMP, Bagé, endereço eletrônico:</w:t>
      </w:r>
      <w:r w:rsidR="00A37AB1" w:rsidRPr="00A37AB1">
        <w:t xml:space="preserve"> </w:t>
      </w:r>
      <w:proofErr w:type="gramStart"/>
      <w:r w:rsidR="00A37AB1">
        <w:t>isadoramorocini@gmail.com</w:t>
      </w:r>
      <w:proofErr w:type="gramEnd"/>
    </w:p>
  </w:footnote>
  <w:footnote w:id="5">
    <w:p w:rsidR="00C13BDE" w:rsidRDefault="00C13BD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C343A4">
        <w:t>Graduando do Curso de Direito da URCAMP, Bagé, endereço eletrônico:</w:t>
      </w:r>
      <w:r w:rsidR="00A37AB1" w:rsidRPr="00A37AB1">
        <w:t xml:space="preserve"> </w:t>
      </w:r>
      <w:proofErr w:type="gramStart"/>
      <w:r w:rsidR="00A37AB1">
        <w:t>nikolas_davila@hotmail.com</w:t>
      </w:r>
      <w:proofErr w:type="gramEnd"/>
    </w:p>
  </w:footnote>
  <w:footnote w:id="6">
    <w:p w:rsidR="00CC421A" w:rsidRDefault="00CC421A">
      <w:pPr>
        <w:pStyle w:val="Textodenotaderodap"/>
      </w:pPr>
      <w:r>
        <w:rPr>
          <w:rStyle w:val="Refdenotaderodap"/>
        </w:rPr>
        <w:footnoteRef/>
      </w:r>
      <w:r>
        <w:t xml:space="preserve"> Professora Orientadora, Docente do Curso de Direito da URCAMP, Mestre em Ciências Sociais, </w:t>
      </w:r>
      <w:proofErr w:type="gramStart"/>
      <w:r>
        <w:t>lhm@jfrs.gov.br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1A"/>
    <w:rsid w:val="0003769E"/>
    <w:rsid w:val="002E6E16"/>
    <w:rsid w:val="003B31A6"/>
    <w:rsid w:val="0045218E"/>
    <w:rsid w:val="0046289C"/>
    <w:rsid w:val="006B0B5D"/>
    <w:rsid w:val="00863D82"/>
    <w:rsid w:val="00A37AB1"/>
    <w:rsid w:val="00BE3272"/>
    <w:rsid w:val="00C13BDE"/>
    <w:rsid w:val="00C343A4"/>
    <w:rsid w:val="00CC421A"/>
    <w:rsid w:val="00CF3057"/>
    <w:rsid w:val="00D24C3C"/>
    <w:rsid w:val="00D30EE9"/>
    <w:rsid w:val="00D4049E"/>
    <w:rsid w:val="00D50748"/>
    <w:rsid w:val="00E425D9"/>
    <w:rsid w:val="00E7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C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C421A"/>
  </w:style>
  <w:style w:type="character" w:customStyle="1" w:styleId="apple-converted-space">
    <w:name w:val="apple-converted-space"/>
    <w:basedOn w:val="Fontepargpadro"/>
    <w:rsid w:val="00CC421A"/>
  </w:style>
  <w:style w:type="character" w:customStyle="1" w:styleId="eop">
    <w:name w:val="eop"/>
    <w:basedOn w:val="Fontepargpadro"/>
    <w:rsid w:val="00CC421A"/>
  </w:style>
  <w:style w:type="character" w:customStyle="1" w:styleId="spellingerror">
    <w:name w:val="spellingerror"/>
    <w:basedOn w:val="Fontepargpadro"/>
    <w:rsid w:val="00CC421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421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C421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C421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13BDE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13BD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13BD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13B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C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C421A"/>
  </w:style>
  <w:style w:type="character" w:customStyle="1" w:styleId="apple-converted-space">
    <w:name w:val="apple-converted-space"/>
    <w:basedOn w:val="Fontepargpadro"/>
    <w:rsid w:val="00CC421A"/>
  </w:style>
  <w:style w:type="character" w:customStyle="1" w:styleId="eop">
    <w:name w:val="eop"/>
    <w:basedOn w:val="Fontepargpadro"/>
    <w:rsid w:val="00CC421A"/>
  </w:style>
  <w:style w:type="character" w:customStyle="1" w:styleId="spellingerror">
    <w:name w:val="spellingerror"/>
    <w:basedOn w:val="Fontepargpadro"/>
    <w:rsid w:val="00CC421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421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C421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C421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13BDE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13BD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13BD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13B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DC5AC-8209-4D1D-804C-80AE0A6C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benefício da prestação continuada e a divergência sobre o requisito legal da miserabilidade nas concepções do instituto nacional da seguridade social e do supremo tribunal federal</dc:title>
  <dc:creator>Bruno Martins;Camila Médici;Carlos Henrique Alfaya;Isadora Giordano;Nikolas D´Ávila;Lourdes Helena Martins da Silva</dc:creator>
  <cp:lastModifiedBy>Gunter-Pavillion</cp:lastModifiedBy>
  <cp:revision>3</cp:revision>
  <dcterms:created xsi:type="dcterms:W3CDTF">2016-07-01T11:14:00Z</dcterms:created>
  <dcterms:modified xsi:type="dcterms:W3CDTF">2016-07-01T11:15:00Z</dcterms:modified>
</cp:coreProperties>
</file>